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Arial" w:hAnsi="Arial" w:eastAsia="Arial"/>
          <w:b/>
          <w:color w:val="182B3A"/>
          <w:sz w:val="40"/>
        </w:rPr>
        <w:t>КАЧАЛИЧ МАКСИМ</w:t>
      </w:r>
    </w:p>
    <w:p>
      <w:pPr>
        <w:spacing w:after="60"/>
      </w:pPr>
      <w:r>
        <w:rPr>
          <w:rFonts w:ascii="Arial" w:hAnsi="Arial" w:eastAsia="Arial"/>
          <w:b/>
          <w:color w:val="1F4E79"/>
          <w:sz w:val="21"/>
        </w:rPr>
        <w:t>Бизнес-/системный аналитик  |  Проектирование решений и данных  |  Управленческий учет</w:t>
      </w:r>
    </w:p>
    <w:p>
      <w:pPr>
        <w:spacing w:after="100"/>
        <w:pBdr>
          <w:bottom w:val="single" w:sz="8" w:space="5" w:color="1F4E79"/>
        </w:pBdr>
      </w:pPr>
      <w:r>
        <w:rPr>
          <w:rFonts w:ascii="Arial" w:hAnsi="Arial" w:eastAsia="Arial"/>
          <w:color w:val="464646"/>
          <w:sz w:val="18"/>
        </w:rPr>
        <w:t>Новосибирск  |  удаленная работа  |  готов к командировкам  |  +7 (999) 229-72-81  |  Telegram: @KachalichMaxim</w:t>
      </w:r>
    </w:p>
    <w:p>
      <w:pPr>
        <w:keepNext/>
        <w:spacing w:before="140" w:after="80"/>
        <w:pBdr>
          <w:bottom w:val="single" w:sz="4" w:space="2" w:color="A6B8C8"/>
        </w:pBdr>
      </w:pPr>
      <w:r>
        <w:rPr>
          <w:rFonts w:ascii="Arial" w:hAnsi="Arial" w:eastAsia="Arial"/>
          <w:b/>
          <w:color w:val="1F4E79"/>
          <w:sz w:val="21"/>
        </w:rPr>
        <w:t>ПРОФИЛЬ</w:t>
      </w:r>
    </w:p>
    <w:p>
      <w:pPr>
        <w:spacing w:after="80" w:line="254" w:lineRule="auto"/>
      </w:pPr>
      <w:r>
        <w:rPr>
          <w:rFonts w:ascii="Arial" w:hAnsi="Arial" w:eastAsia="Arial"/>
          <w:color w:val="232323"/>
          <w:sz w:val="19"/>
        </w:rPr>
        <w:t>Бизнес- и системный аналитик с 4+ годами опыта на пересечении ERP, данных, интеграций и финансов. Веду решение сквозным образом: от бизнес-цели, контекста и ограничений — к границам системы, доменной модели, данным, API, функциональным и нефункциональным требованиям, постановке в разработку и приемке по SQL, коду и UAT. Работаю как с legacy ERP, так и с новыми сервисами; умею связывать бизнес-смысл с реализацией и сохранять трассируемость «цель → требование → компонент → данные → контрольный сценарий». Финансовая специализация: управленческий учет, P&amp;L, ДДС, баланс, unit-экономика и оборотный капитал.</w:t>
      </w:r>
    </w:p>
    <w:p>
      <w:pPr>
        <w:keepNext/>
        <w:spacing w:before="140" w:after="80"/>
        <w:pBdr>
          <w:bottom w:val="single" w:sz="4" w:space="2" w:color="A6B8C8"/>
        </w:pBdr>
      </w:pPr>
      <w:r>
        <w:rPr>
          <w:rFonts w:ascii="Arial" w:hAnsi="Arial" w:eastAsia="Arial"/>
          <w:b/>
          <w:color w:val="1F4E79"/>
          <w:sz w:val="21"/>
        </w:rPr>
        <w:t>КЛЮЧЕВЫЕ КОМПЕТЕНЦИИ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4649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color w:val="1F4E79"/>
                <w:sz w:val="18"/>
              </w:rPr>
              <w:t xml:space="preserve">Архитектура решений: </w:t>
            </w:r>
            <w:r>
              <w:rPr>
                <w:rFonts w:ascii="Arial" w:hAnsi="Arial" w:eastAsia="Arial"/>
                <w:color w:val="2D2D2D"/>
                <w:sz w:val="18"/>
              </w:rPr>
              <w:t>C4, AS-IS/TO-BE, domain model, bounded contexts, integration patterns, NFR, trade-offs, ADR.</w:t>
            </w:r>
          </w:p>
        </w:tc>
        <w:tc>
          <w:tcPr>
            <w:tcW w:type="dxa" w:w="4649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color w:val="1F4E79"/>
                <w:sz w:val="18"/>
              </w:rPr>
              <w:t xml:space="preserve">Требования и delivery: </w:t>
            </w:r>
            <w:r>
              <w:rPr>
                <w:rFonts w:ascii="Arial" w:hAnsi="Arial" w:eastAsia="Arial"/>
                <w:color w:val="2D2D2D"/>
                <w:sz w:val="18"/>
              </w:rPr>
              <w:t>BRD/FSD/ТЗ, Use Case, бизнес-правила, OpenAPI, критерии приемки, traceability, UAT.</w:t>
            </w:r>
          </w:p>
        </w:tc>
      </w:tr>
      <w:tr>
        <w:tc>
          <w:tcPr>
            <w:tcW w:type="dxa" w:w="4649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color w:val="1F4E79"/>
                <w:sz w:val="18"/>
              </w:rPr>
              <w:t xml:space="preserve">Данные и аналитика: </w:t>
            </w:r>
            <w:r>
              <w:rPr>
                <w:rFonts w:ascii="Arial" w:hAnsi="Arial" w:eastAsia="Arial"/>
                <w:color w:val="2D2D2D"/>
                <w:sz w:val="18"/>
              </w:rPr>
              <w:t>DWH/ELT, grain, lineage, data quality, reconciliation, ClickHouse, PostgreSQL, MariaDB, Power BI.</w:t>
            </w:r>
          </w:p>
        </w:tc>
        <w:tc>
          <w:tcPr>
            <w:tcW w:type="dxa" w:w="4649"/>
            <w:vAlign w:val="top"/>
          </w:tcPr>
          <w:p>
            <w:pPr>
              <w:spacing w:after="0" w:line="240" w:lineRule="auto"/>
            </w:pPr>
            <w:r>
              <w:rPr>
                <w:rFonts w:ascii="Arial" w:hAnsi="Arial" w:eastAsia="Arial"/>
                <w:b/>
                <w:color w:val="1F4E79"/>
                <w:sz w:val="18"/>
              </w:rPr>
              <w:t xml:space="preserve">Финансы: </w:t>
            </w:r>
            <w:r>
              <w:rPr>
                <w:rFonts w:ascii="Arial" w:hAnsi="Arial" w:eastAsia="Arial"/>
                <w:color w:val="2D2D2D"/>
                <w:sz w:val="18"/>
              </w:rPr>
              <w:t>P&amp;L, ДДС, баланс, бюджетирование, план-факт, unit-экономика, DIO/DSO/DPO, GMROI, сценарное моделирование.</w:t>
            </w:r>
          </w:p>
        </w:tc>
      </w:tr>
    </w:tbl>
    <w:p>
      <w:pPr>
        <w:keepNext/>
        <w:spacing w:before="140" w:after="80"/>
        <w:pBdr>
          <w:bottom w:val="single" w:sz="4" w:space="2" w:color="A6B8C8"/>
        </w:pBdr>
      </w:pPr>
      <w:r>
        <w:rPr>
          <w:rFonts w:ascii="Arial" w:hAnsi="Arial" w:eastAsia="Arial"/>
          <w:b/>
          <w:color w:val="1F4E79"/>
          <w:sz w:val="21"/>
        </w:rPr>
        <w:t>ОПЫТ РАБОТЫ</w:t>
      </w:r>
    </w:p>
    <w:p>
      <w:pPr>
        <w:keepNext/>
        <w:tabs>
          <w:tab w:pos="9411" w:val="right"/>
        </w:tabs>
        <w:spacing w:before="140" w:after="20"/>
      </w:pPr>
      <w:r>
        <w:rPr>
          <w:rFonts w:ascii="Arial" w:hAnsi="Arial" w:eastAsia="Arial"/>
          <w:b/>
          <w:color w:val="182B3A"/>
          <w:sz w:val="22"/>
        </w:rPr>
        <w:t>Бизнес-/системный аналитик</w:t>
      </w:r>
      <w:r>
        <w:rPr>
          <w:rFonts w:ascii="Arial" w:hAnsi="Arial" w:eastAsia="Arial"/>
          <w:b/>
          <w:color w:val="505050"/>
          <w:sz w:val="18"/>
        </w:rPr>
        <w:tab/>
        <w:t>11.2025 — н.в.</w:t>
      </w:r>
    </w:p>
    <w:p>
      <w:pPr>
        <w:keepNext/>
        <w:spacing w:after="40"/>
      </w:pPr>
      <w:r>
        <w:rPr>
          <w:rFonts w:ascii="Arial" w:hAnsi="Arial" w:eastAsia="Arial"/>
          <w:b/>
          <w:color w:val="1F4E79"/>
          <w:sz w:val="19"/>
        </w:rPr>
        <w:t>ВЭД Агент</w:t>
      </w:r>
      <w:r>
        <w:rPr>
          <w:rFonts w:ascii="Arial" w:hAnsi="Arial" w:eastAsia="Arial"/>
          <w:i/>
          <w:color w:val="5A5A5A"/>
          <w:sz w:val="18"/>
        </w:rPr>
        <w:t xml:space="preserve">  |  ERP, логистика, ВЭД, DWH</w:t>
      </w:r>
    </w:p>
    <w:p>
      <w:pPr>
        <w:spacing w:after="60" w:line="247" w:lineRule="auto"/>
        <w:ind w:left="85"/>
      </w:pPr>
      <w:r>
        <w:rPr>
          <w:rFonts w:ascii="Arial" w:hAnsi="Arial" w:eastAsia="Arial"/>
          <w:b/>
          <w:color w:val="3C3C3C"/>
          <w:sz w:val="18"/>
        </w:rPr>
        <w:t xml:space="preserve">Контекст: </w:t>
      </w:r>
      <w:r>
        <w:rPr>
          <w:rFonts w:ascii="Arial" w:hAnsi="Arial" w:eastAsia="Arial"/>
          <w:color w:val="3C3C3C"/>
          <w:sz w:val="18"/>
        </w:rPr>
        <w:t>Legacy ERP на MariaDB, разрозненная бизнес-логика в функциях БД, спорные определения клиентских и финансовых показателей, необходимость вынести тяжелые расчеты в аналитический контур без потери смысла.</w:t>
      </w:r>
    </w:p>
    <w:p>
      <w:pPr>
        <w:spacing w:after="60" w:line="250" w:lineRule="auto"/>
      </w:pPr>
      <w:r>
        <w:rPr>
          <w:rFonts w:ascii="Arial" w:hAnsi="Arial" w:eastAsia="Arial"/>
          <w:b/>
          <w:color w:val="1F4E79"/>
          <w:sz w:val="18"/>
        </w:rPr>
        <w:t xml:space="preserve">Архитектурная роль: </w:t>
      </w:r>
      <w:r>
        <w:rPr>
          <w:rFonts w:ascii="Arial" w:hAnsi="Arial" w:eastAsia="Arial"/>
          <w:color w:val="282828"/>
          <w:sz w:val="18"/>
        </w:rPr>
        <w:t>формирование целевого решения и сквозная трассировка требований от бизнес-модели до данных, компонентов и приемочных проверок.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Декомпозировал проблематику на домены клиентского lifecycle, финансовых операций, сверки и управленческой отчетности; определял границы изменений, источники истины и зависимости между ERP, DWH и BI.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Спроектировал целевой контур данных ERP MariaDB → raw/fact/view в ClickHouse → Power BI: зафиксировал зерно фактов, ключи, историчность, правила агрегации, lineage, drilldown до ERP-документа и проверки качества данных.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Вместо статуса «по факту заказа» проработал событийную модель клиента: активность, неактивность, потеря и реактивация объясняются бизнес-событиями, периодом без активности и историей поставок.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Сформировал требования к reconciliation-слою: связь счета, платежа, операции и закрывающего документа; детализация расхождений, контрольные суммы и переход к первичному объекту в ERP.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Проработал перенос тяжелой ERP-логики из MariaDB в Python/ClickHouse: совместимость расчетов, порядок миграции, контроль регрессий, требования по производительности, консистентности и аудируемости.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Спроектировал сервис сверки ERP ↔ 1С: доменные сущности «поставка / договор / документ / статус сверки», read-only OpenAPI-контракт, разделение domain/application/infrastructure/UI и сценарий «показывать только расхождения».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Переводил бизнес-правила в BRD/ТЗ, SQL-логику, критерии приемки и UAT-кейсы; проверял реализацию по данным, функциям ERP и пользовательским сценариям.</w:t>
      </w:r>
    </w:p>
    <w:p>
      <w:pPr>
        <w:spacing w:after="60" w:line="250" w:lineRule="auto"/>
      </w:pPr>
      <w:r>
        <w:rPr>
          <w:rFonts w:ascii="Arial" w:hAnsi="Arial" w:eastAsia="Arial"/>
          <w:b/>
          <w:color w:val="1F4E79"/>
          <w:sz w:val="18"/>
        </w:rPr>
        <w:t xml:space="preserve">Результат: </w:t>
      </w:r>
      <w:r>
        <w:rPr>
          <w:rFonts w:ascii="Arial" w:hAnsi="Arial" w:eastAsia="Arial"/>
          <w:color w:val="282828"/>
          <w:sz w:val="18"/>
        </w:rPr>
        <w:t>создан единый формализованный контур решений для клиентской аналитики и финансовой сверки; изменения можно реализовывать и проверять без потери бизнес-семантики и с прозрачной трассируемостью до первичных данных.</w:t>
      </w:r>
    </w:p>
    <w:p>
      <w:pPr>
        <w:spacing w:after="40" w:line="240" w:lineRule="auto"/>
      </w:pPr>
      <w:r>
        <w:rPr>
          <w:rFonts w:ascii="Arial" w:hAnsi="Arial" w:eastAsia="Arial"/>
          <w:i/>
          <w:color w:val="5A5A5A"/>
          <w:sz w:val="17"/>
        </w:rPr>
        <w:t>Стек: ClickHouse, MariaDB, PostgreSQL, Python, SQL, Power BI, REST/OpenAPI, C4, BPMN, UML, Git/Docker.</w:t>
      </w:r>
    </w:p>
    <w:p>
      <w:r>
        <w:br w:type="page"/>
      </w:r>
    </w:p>
    <w:p>
      <w:pPr>
        <w:keepNext/>
        <w:spacing w:before="140" w:after="80"/>
        <w:pBdr>
          <w:bottom w:val="single" w:sz="4" w:space="2" w:color="A6B8C8"/>
        </w:pBdr>
      </w:pPr>
      <w:r>
        <w:rPr>
          <w:rFonts w:ascii="Arial" w:hAnsi="Arial" w:eastAsia="Arial"/>
          <w:b/>
          <w:color w:val="1F4E79"/>
          <w:sz w:val="21"/>
        </w:rPr>
        <w:t>ОПЫТ РАБОТЫ — ПРОДОЛЖЕНИЕ</w:t>
      </w:r>
    </w:p>
    <w:p>
      <w:pPr>
        <w:keepNext/>
        <w:tabs>
          <w:tab w:pos="9411" w:val="right"/>
        </w:tabs>
        <w:spacing w:before="140" w:after="20"/>
      </w:pPr>
      <w:r>
        <w:rPr>
          <w:rFonts w:ascii="Arial" w:hAnsi="Arial" w:eastAsia="Arial"/>
          <w:b/>
          <w:color w:val="182B3A"/>
          <w:sz w:val="22"/>
        </w:rPr>
        <w:t>Финансовый аналитик / специалист по управленческому учету</w:t>
      </w:r>
      <w:r>
        <w:rPr>
          <w:rFonts w:ascii="Arial" w:hAnsi="Arial" w:eastAsia="Arial"/>
          <w:b/>
          <w:color w:val="505050"/>
          <w:sz w:val="18"/>
        </w:rPr>
        <w:tab/>
        <w:t>2025 — н.в.</w:t>
      </w:r>
    </w:p>
    <w:p>
      <w:pPr>
        <w:keepNext/>
        <w:spacing w:after="40"/>
      </w:pPr>
      <w:r>
        <w:rPr>
          <w:rFonts w:ascii="Arial" w:hAnsi="Arial" w:eastAsia="Arial"/>
          <w:b/>
          <w:color w:val="1F4E79"/>
          <w:sz w:val="19"/>
        </w:rPr>
        <w:t>Проектная деятельность</w:t>
      </w:r>
      <w:r>
        <w:rPr>
          <w:rFonts w:ascii="Arial" w:hAnsi="Arial" w:eastAsia="Arial"/>
          <w:i/>
          <w:color w:val="5A5A5A"/>
          <w:sz w:val="18"/>
        </w:rPr>
        <w:t xml:space="preserve">  |  e-commerce, retail, HoReCa, строительство</w:t>
      </w:r>
    </w:p>
    <w:p>
      <w:pPr>
        <w:spacing w:after="60" w:line="247" w:lineRule="auto"/>
        <w:ind w:left="85"/>
      </w:pPr>
      <w:r>
        <w:rPr>
          <w:rFonts w:ascii="Arial" w:hAnsi="Arial" w:eastAsia="Arial"/>
          <w:b/>
          <w:color w:val="3C3C3C"/>
          <w:sz w:val="18"/>
        </w:rPr>
        <w:t xml:space="preserve">Контекст: </w:t>
      </w:r>
      <w:r>
        <w:rPr>
          <w:rFonts w:ascii="Arial" w:hAnsi="Arial" w:eastAsia="Arial"/>
          <w:color w:val="3C3C3C"/>
          <w:sz w:val="18"/>
        </w:rPr>
        <w:t>Несколько юридических лиц и каналов продаж, маркетплейсы с разной логикой отчетов и взаиморасчетов, разрозненные таблицы и отсутствие единой модели признания выручки, расходов, запасов и обязательств.</w:t>
      </w:r>
    </w:p>
    <w:p>
      <w:pPr>
        <w:spacing w:after="60" w:line="250" w:lineRule="auto"/>
      </w:pPr>
      <w:r>
        <w:rPr>
          <w:rFonts w:ascii="Arial" w:hAnsi="Arial" w:eastAsia="Arial"/>
          <w:b/>
          <w:color w:val="1F4E79"/>
          <w:sz w:val="18"/>
        </w:rPr>
        <w:t xml:space="preserve">Архитектурная роль: </w:t>
      </w:r>
      <w:r>
        <w:rPr>
          <w:rFonts w:ascii="Arial" w:hAnsi="Arial" w:eastAsia="Arial"/>
          <w:color w:val="282828"/>
          <w:sz w:val="18"/>
        </w:rPr>
        <w:t>проектирование управленческого учета как информационной системы, а не набора отчетов.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Сформировал архитектуру управленческого учета: взаимосвязанные P&amp;L, ДДС и баланс; единый план управленческих статей и аналитики по юрлицу, каналу, маркетплейсу, SKU, заказу и периоду.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Разделил правила признания по методу начисления и движению денег; формализовал учет комиссий, логистики, бонусов/баллов маркетплейсов, налогов, самовыкупов, возвратов, авансов поставщикам и товара в пути.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Определил источники истины и контрольный маршрут данных: отчеты и API маркетплейсов / 1С / МойСклад / банковские выписки → преобразования → сверка → управленческие формы → контрольные показатели.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Построил процесс ежемесячного закрытия: календарь, владельцы данных, контроль полноты, reconciliation между начислениями и выплатами, правила корректировок и фиксация допущений.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Разработал аналитику оборотного капитала и запасов: DIO, DSO, DPO, NWC, GMROI, возраст остатков, последняя продажа, наличие по площадкам и сценарии распродажи/перемещения.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Для e-commerce-бизнеса с выручкой порядка 80 млн ₽/мес выявил, что более 60% товарного остатка находилось без движения 180+ дней; сформировал приоритеты по SKU на основе стоимости замороженного капитала, GMROI и истории продаж.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Связывал финансовые отклонения с операционными драйверами: недотрата или перерасход оценивались через состояние процесса, а не как самостоятельный «хороший» или «плохой» результат.</w:t>
      </w:r>
    </w:p>
    <w:p>
      <w:pPr>
        <w:spacing w:after="60" w:line="250" w:lineRule="auto"/>
      </w:pPr>
      <w:r>
        <w:rPr>
          <w:rFonts w:ascii="Arial" w:hAnsi="Arial" w:eastAsia="Arial"/>
          <w:b/>
          <w:color w:val="1F4E79"/>
          <w:sz w:val="18"/>
        </w:rPr>
        <w:t xml:space="preserve">Результат: </w:t>
      </w:r>
      <w:r>
        <w:rPr>
          <w:rFonts w:ascii="Arial" w:hAnsi="Arial" w:eastAsia="Arial"/>
          <w:color w:val="282828"/>
          <w:sz w:val="18"/>
        </w:rPr>
        <w:t>руководители получили согласованную модель цифр, прозрачную логику расчета и набор управленческих рычагов по марже, запасам, рекламе, логистике и денежному циклу.</w:t>
      </w:r>
    </w:p>
    <w:p>
      <w:pPr>
        <w:spacing w:after="40" w:line="240" w:lineRule="auto"/>
      </w:pPr>
      <w:r>
        <w:rPr>
          <w:rFonts w:ascii="Arial" w:hAnsi="Arial" w:eastAsia="Arial"/>
          <w:i/>
          <w:color w:val="5A5A5A"/>
          <w:sz w:val="17"/>
        </w:rPr>
        <w:t>Стек: Google Sheets, Power Query, Apps Script, SQL, Python/Pandas, API маркетплейсов, 1С, МойСклад, финансовое моделирование.</w:t>
      </w:r>
    </w:p>
    <w:p>
      <w:pPr>
        <w:keepNext/>
        <w:tabs>
          <w:tab w:pos="9411" w:val="right"/>
        </w:tabs>
        <w:spacing w:before="140" w:after="20"/>
      </w:pPr>
      <w:r>
        <w:rPr>
          <w:rFonts w:ascii="Arial" w:hAnsi="Arial" w:eastAsia="Arial"/>
          <w:b/>
          <w:color w:val="182B3A"/>
          <w:sz w:val="22"/>
        </w:rPr>
        <w:t>Product / Solution Analyst</w:t>
      </w:r>
      <w:r>
        <w:rPr>
          <w:rFonts w:ascii="Arial" w:hAnsi="Arial" w:eastAsia="Arial"/>
          <w:b/>
          <w:color w:val="505050"/>
          <w:sz w:val="18"/>
        </w:rPr>
        <w:tab/>
        <w:t>05.2024 — 10.2025</w:t>
      </w:r>
    </w:p>
    <w:p>
      <w:pPr>
        <w:keepNext/>
        <w:spacing w:after="40"/>
      </w:pPr>
      <w:r>
        <w:rPr>
          <w:rFonts w:ascii="Arial" w:hAnsi="Arial" w:eastAsia="Arial"/>
          <w:b/>
          <w:color w:val="1F4E79"/>
          <w:sz w:val="19"/>
        </w:rPr>
        <w:t>BookNTrack.ru</w:t>
      </w:r>
      <w:r>
        <w:rPr>
          <w:rFonts w:ascii="Arial" w:hAnsi="Arial" w:eastAsia="Arial"/>
          <w:i/>
          <w:color w:val="5A5A5A"/>
          <w:sz w:val="18"/>
        </w:rPr>
        <w:t xml:space="preserve">  |  личный SaaS-проект</w:t>
      </w:r>
    </w:p>
    <w:p>
      <w:pPr>
        <w:spacing w:after="60" w:line="247" w:lineRule="auto"/>
        <w:ind w:left="85"/>
      </w:pPr>
      <w:r>
        <w:rPr>
          <w:rFonts w:ascii="Arial" w:hAnsi="Arial" w:eastAsia="Arial"/>
          <w:b/>
          <w:color w:val="3C3C3C"/>
          <w:sz w:val="18"/>
        </w:rPr>
        <w:t xml:space="preserve">Контекст: </w:t>
      </w:r>
      <w:r>
        <w:rPr>
          <w:rFonts w:ascii="Arial" w:hAnsi="Arial" w:eastAsia="Arial"/>
          <w:color w:val="3C3C3C"/>
          <w:sz w:val="18"/>
        </w:rPr>
        <w:t>Компьютерные клубы используют несколько несвязанных систем; бронирование, платежи, документы, коммуникации и аналитика требуют ручного переключения и сверки.</w:t>
      </w:r>
    </w:p>
    <w:p>
      <w:pPr>
        <w:spacing w:after="60" w:line="250" w:lineRule="auto"/>
      </w:pPr>
      <w:r>
        <w:rPr>
          <w:rFonts w:ascii="Arial" w:hAnsi="Arial" w:eastAsia="Arial"/>
          <w:b/>
          <w:color w:val="1F4E79"/>
          <w:sz w:val="18"/>
        </w:rPr>
        <w:t xml:space="preserve">Архитектурная роль: </w:t>
      </w:r>
      <w:r>
        <w:rPr>
          <w:rFonts w:ascii="Arial" w:hAnsi="Arial" w:eastAsia="Arial"/>
          <w:color w:val="282828"/>
          <w:sz w:val="18"/>
        </w:rPr>
        <w:t>от бизнес-модели подписочного сервиса — к доменной и технической архитектуре, реализации и эксплуатации end-to-end.</w:t>
      </w:r>
    </w:p>
    <w:p>
      <w:pPr>
        <w:pStyle w:val="ResumeBullet"/>
        <w:spacing w:after="27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Выделил доменные контексты: бронирования, клиенты и баланс, платежи, документы, интеграции, уведомления и аналитика; определил сущности, инварианты и контракты между модулями.</w:t>
      </w:r>
    </w:p>
    <w:p>
      <w:pPr>
        <w:pStyle w:val="ResumeBullet"/>
        <w:spacing w:after="27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Разделил транзакционный и аналитический контуры: PostgreSQL для SaaS-операций, MSSQL/Gizmo как внешний источник, ClickHouse для исторической аналитики и тяжелых агрегаций.</w:t>
      </w:r>
    </w:p>
    <w:p>
      <w:pPr>
        <w:pStyle w:val="ResumeBullet"/>
        <w:spacing w:after="27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Выбрал FastAPI + React + Docker; REST API использовал для команд и запросов, WebSocket — для оперативного обновления состояний, Telegram Mini App — как клиентский канал самообслуживания.</w:t>
      </w:r>
    </w:p>
    <w:p>
      <w:pPr>
        <w:pStyle w:val="ResumeBullet"/>
        <w:spacing w:after="27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Спроектировал адаптеры интеграций Gizmo API, Evotor, Telegram Bot API и платежных сервисов; зафиксировал правила синхронизации, повторной обработки и изоляции внешних сбоев.</w:t>
      </w:r>
    </w:p>
    <w:p>
      <w:pPr>
        <w:pStyle w:val="ResumeBullet"/>
        <w:spacing w:after="27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Сформировал NFR: разделение данных клубов, идемпотентность финансовых операций, аудируемость изменений, восстановление после ошибок и доступность критичного сценария бронирования.</w:t>
      </w:r>
    </w:p>
    <w:p>
      <w:pPr>
        <w:pStyle w:val="ResumeBullet"/>
        <w:spacing w:after="27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Реализовал аналитический контур: выручка/возвраты, загрузка ПК и зон, cohort retention, RFM, churn, сценарный прогноз выручки, остатки и рекомендации к закупке.</w:t>
      </w:r>
    </w:p>
    <w:p>
      <w:pPr>
        <w:spacing w:after="60" w:line="250" w:lineRule="auto"/>
      </w:pPr>
      <w:r>
        <w:rPr>
          <w:rFonts w:ascii="Arial" w:hAnsi="Arial" w:eastAsia="Arial"/>
          <w:b/>
          <w:color w:val="1F4E79"/>
          <w:sz w:val="18"/>
        </w:rPr>
        <w:t xml:space="preserve">Результат: </w:t>
      </w:r>
      <w:r>
        <w:rPr>
          <w:rFonts w:ascii="Arial" w:hAnsi="Arial" w:eastAsia="Arial"/>
          <w:color w:val="282828"/>
          <w:sz w:val="18"/>
        </w:rPr>
        <w:t>единая SaaS-платформа автоматизировала бронирование, клиентское самообслуживание, выставление счетов и закрывающих документов; управленческий фокус сместился со сбора данных на принятие решений.</w:t>
      </w:r>
    </w:p>
    <w:p>
      <w:pPr>
        <w:spacing w:after="40" w:line="240" w:lineRule="auto"/>
      </w:pPr>
      <w:r>
        <w:rPr>
          <w:rFonts w:ascii="Arial" w:hAnsi="Arial" w:eastAsia="Arial"/>
          <w:i/>
          <w:color w:val="5A5A5A"/>
          <w:sz w:val="17"/>
        </w:rPr>
        <w:t>Стек: FastAPI, React, PostgreSQL, ClickHouse, MS SQL, Docker, REST, WebSocket, Telegram Mini App, Git.</w:t>
      </w:r>
    </w:p>
    <w:p>
      <w:r>
        <w:br w:type="page"/>
      </w:r>
    </w:p>
    <w:p>
      <w:pPr>
        <w:keepNext/>
        <w:spacing w:before="140" w:after="80"/>
        <w:pBdr>
          <w:bottom w:val="single" w:sz="4" w:space="2" w:color="A6B8C8"/>
        </w:pBdr>
      </w:pPr>
      <w:r>
        <w:rPr>
          <w:rFonts w:ascii="Arial" w:hAnsi="Arial" w:eastAsia="Arial"/>
          <w:b/>
          <w:color w:val="1F4E79"/>
          <w:sz w:val="21"/>
        </w:rPr>
        <w:t>ОПЫТ РАБОТЫ — ПРОДОЛЖЕНИЕ</w:t>
      </w:r>
    </w:p>
    <w:p>
      <w:pPr>
        <w:keepNext/>
        <w:tabs>
          <w:tab w:pos="9411" w:val="right"/>
        </w:tabs>
        <w:spacing w:before="140" w:after="20"/>
      </w:pPr>
      <w:r>
        <w:rPr>
          <w:rFonts w:ascii="Arial" w:hAnsi="Arial" w:eastAsia="Arial"/>
          <w:b/>
          <w:color w:val="182B3A"/>
          <w:sz w:val="22"/>
        </w:rPr>
        <w:t>Руководитель проектов / бизнес-аналитик</w:t>
      </w:r>
      <w:r>
        <w:rPr>
          <w:rFonts w:ascii="Arial" w:hAnsi="Arial" w:eastAsia="Arial"/>
          <w:b/>
          <w:color w:val="505050"/>
          <w:sz w:val="18"/>
        </w:rPr>
        <w:tab/>
        <w:t>02.2022 — 06.2025</w:t>
      </w:r>
    </w:p>
    <w:p>
      <w:pPr>
        <w:keepNext/>
        <w:spacing w:after="40"/>
      </w:pPr>
      <w:r>
        <w:rPr>
          <w:rFonts w:ascii="Arial" w:hAnsi="Arial" w:eastAsia="Arial"/>
          <w:b/>
          <w:color w:val="1F4E79"/>
          <w:sz w:val="19"/>
        </w:rPr>
        <w:t>ДЕПАРТАМЕНТ ВКУСА</w:t>
      </w:r>
      <w:r>
        <w:rPr>
          <w:rFonts w:ascii="Arial" w:hAnsi="Arial" w:eastAsia="Arial"/>
          <w:i/>
          <w:color w:val="5A5A5A"/>
          <w:sz w:val="18"/>
        </w:rPr>
        <w:t xml:space="preserve">  |  сеть компьютерных клубов</w:t>
      </w:r>
    </w:p>
    <w:p>
      <w:pPr>
        <w:spacing w:after="60" w:line="247" w:lineRule="auto"/>
        <w:ind w:left="85"/>
      </w:pPr>
      <w:r>
        <w:rPr>
          <w:rFonts w:ascii="Arial" w:hAnsi="Arial" w:eastAsia="Arial"/>
          <w:b/>
          <w:color w:val="3C3C3C"/>
          <w:sz w:val="18"/>
        </w:rPr>
        <w:t xml:space="preserve">Контекст: </w:t>
      </w:r>
      <w:r>
        <w:rPr>
          <w:rFonts w:ascii="Arial" w:hAnsi="Arial" w:eastAsia="Arial"/>
          <w:color w:val="3C3C3C"/>
          <w:sz w:val="18"/>
        </w:rPr>
        <w:t>Операционные и финансовые данные собирались вручную, определения метрик различались между подразделениями, а решения принимались на несогласованных цифрах.</w:t>
      </w:r>
    </w:p>
    <w:p>
      <w:pPr>
        <w:spacing w:after="60" w:line="250" w:lineRule="auto"/>
      </w:pPr>
      <w:r>
        <w:rPr>
          <w:rFonts w:ascii="Arial" w:hAnsi="Arial" w:eastAsia="Arial"/>
          <w:b/>
          <w:color w:val="1F4E79"/>
          <w:sz w:val="18"/>
        </w:rPr>
        <w:t xml:space="preserve">Архитектурная роль: </w:t>
      </w:r>
      <w:r>
        <w:rPr>
          <w:rFonts w:ascii="Arial" w:hAnsi="Arial" w:eastAsia="Arial"/>
          <w:color w:val="282828"/>
          <w:sz w:val="18"/>
        </w:rPr>
        <w:t>проектирование целевой операционной модели и аналитического контура для сети.</w:t>
      </w:r>
    </w:p>
    <w:p>
      <w:pPr>
        <w:pStyle w:val="ResumeBullet"/>
        <w:spacing w:after="31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Описал AS-IS/TO-BE ключевых процессов, роли и точки контроля; переводил цели собственников в требования к процессам, данным и автоматизации.</w:t>
      </w:r>
    </w:p>
    <w:p>
      <w:pPr>
        <w:pStyle w:val="ResumeBullet"/>
        <w:spacing w:after="31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Спроектировал управленческую отчетность в Google Sheets + Apps Script: модель источников, единые справочники, расчетные слои, витрины для P&amp;L/ДДС и операционных показателей.</w:t>
      </w:r>
    </w:p>
    <w:p>
      <w:pPr>
        <w:pStyle w:val="ResumeBullet"/>
        <w:spacing w:after="31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Создал каталог метрик и единые правила расчета выручки, загрузки, AOV, LTV, churn, CR, ROMI и NPS; определил периодичность обновления и владельцев показателей.</w:t>
      </w:r>
    </w:p>
    <w:p>
      <w:pPr>
        <w:pStyle w:val="ResumeBullet"/>
        <w:spacing w:after="31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Разработал бюджетную и прогнозную модели с учетом сезонности, сценариев и драйверов выручки; связал финансовый план с загрузкой, трафиком, конверсией и средним чеком.</w:t>
      </w:r>
    </w:p>
    <w:p>
      <w:pPr>
        <w:pStyle w:val="ResumeBullet"/>
        <w:spacing w:after="31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Применял BPMN, CJM, User Story и прототипы интерфейсов для согласования изменений до разработки и снижения числа итераций после тестирования.</w:t>
      </w:r>
    </w:p>
    <w:p>
      <w:pPr>
        <w:spacing w:after="60" w:line="250" w:lineRule="auto"/>
      </w:pPr>
      <w:r>
        <w:rPr>
          <w:rFonts w:ascii="Arial" w:hAnsi="Arial" w:eastAsia="Arial"/>
          <w:b/>
          <w:color w:val="1F4E79"/>
          <w:sz w:val="18"/>
        </w:rPr>
        <w:t xml:space="preserve">Результат: </w:t>
      </w:r>
      <w:r>
        <w:rPr>
          <w:rFonts w:ascii="Arial" w:hAnsi="Arial" w:eastAsia="Arial"/>
          <w:color w:val="282828"/>
          <w:sz w:val="18"/>
        </w:rPr>
        <w:t>сократил ручную подготовку отчетности примерно на 20%; повысил прозрачность план-факта и создал единый управленческий язык для собственников, управляющих и маркетинга.</w:t>
      </w:r>
    </w:p>
    <w:p>
      <w:pPr>
        <w:spacing w:after="40" w:line="240" w:lineRule="auto"/>
      </w:pPr>
      <w:r>
        <w:rPr>
          <w:rFonts w:ascii="Arial" w:hAnsi="Arial" w:eastAsia="Arial"/>
          <w:i/>
          <w:color w:val="5A5A5A"/>
          <w:sz w:val="17"/>
        </w:rPr>
        <w:t>Стек: Google Sheets, Apps Script, PostgreSQL, BigQuery, SQL, BPMN, CJM, Postman, Miro/Draw.io.</w:t>
      </w:r>
    </w:p>
    <w:p>
      <w:pPr>
        <w:keepNext/>
        <w:spacing w:before="140" w:after="80"/>
        <w:pBdr>
          <w:bottom w:val="single" w:sz="4" w:space="2" w:color="A6B8C8"/>
        </w:pBdr>
      </w:pPr>
      <w:r>
        <w:rPr>
          <w:rFonts w:ascii="Arial" w:hAnsi="Arial" w:eastAsia="Arial"/>
          <w:b/>
          <w:color w:val="1F4E79"/>
          <w:sz w:val="21"/>
        </w:rPr>
        <w:t>ИНСТРУМЕНТЫ И ТЕХНОЛОГИИ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260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F4E79"/>
                <w:sz w:val="17"/>
              </w:rPr>
              <w:t>Архитектура и моделирование</w:t>
            </w:r>
          </w:p>
        </w:tc>
        <w:tc>
          <w:tcPr>
            <w:tcW w:type="dxa" w:w="669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color w:val="282828"/>
                <w:sz w:val="17"/>
              </w:rPr>
              <w:t>C4, DDD/domain modeling, Clean Architecture, BPMN 2.0, UML, ERD, AS-IS/TO-BE, CJM.</w:t>
            </w:r>
          </w:p>
        </w:tc>
      </w:tr>
      <w:tr>
        <w:tc>
          <w:tcPr>
            <w:tcW w:type="dxa" w:w="260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F4E79"/>
                <w:sz w:val="17"/>
              </w:rPr>
              <w:t>Требования и интеграции</w:t>
            </w:r>
          </w:p>
        </w:tc>
        <w:tc>
          <w:tcPr>
            <w:tcW w:type="dxa" w:w="669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color w:val="282828"/>
                <w:sz w:val="17"/>
              </w:rPr>
              <w:t>BRD, FSD/ТЗ, Use Case, User Story, бизнес-правила, NFR, OpenAPI/Swagger, REST, JSON, Postman.</w:t>
            </w:r>
          </w:p>
        </w:tc>
      </w:tr>
      <w:tr>
        <w:tc>
          <w:tcPr>
            <w:tcW w:type="dxa" w:w="260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F4E79"/>
                <w:sz w:val="17"/>
              </w:rPr>
              <w:t>Данные и разработка</w:t>
            </w:r>
          </w:p>
        </w:tc>
        <w:tc>
          <w:tcPr>
            <w:tcW w:type="dxa" w:w="669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color w:val="282828"/>
                <w:sz w:val="17"/>
              </w:rPr>
              <w:t>SQL, ClickHouse, PostgreSQL, MariaDB, MS SQL, BigQuery, Python/Pandas, FastAPI, React, Docker, Git.</w:t>
            </w:r>
          </w:p>
        </w:tc>
      </w:tr>
      <w:tr>
        <w:tc>
          <w:tcPr>
            <w:tcW w:type="dxa" w:w="260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F4E79"/>
                <w:sz w:val="17"/>
              </w:rPr>
              <w:t>BI и финансы</w:t>
            </w:r>
          </w:p>
        </w:tc>
        <w:tc>
          <w:tcPr>
            <w:tcW w:type="dxa" w:w="669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color w:val="282828"/>
                <w:sz w:val="17"/>
              </w:rPr>
              <w:t>Power BI, Power Query, Google Sheets, Apps Script, P&amp;L, ДДС, баланс, бюджетирование, unit-экономика.</w:t>
            </w:r>
          </w:p>
        </w:tc>
      </w:tr>
    </w:tbl>
    <w:p>
      <w:pPr>
        <w:keepNext/>
        <w:spacing w:before="140" w:after="80"/>
        <w:pBdr>
          <w:bottom w:val="single" w:sz="4" w:space="2" w:color="A6B8C8"/>
        </w:pBdr>
      </w:pPr>
      <w:r>
        <w:rPr>
          <w:rFonts w:ascii="Arial" w:hAnsi="Arial" w:eastAsia="Arial"/>
          <w:b/>
          <w:color w:val="1F4E79"/>
          <w:sz w:val="21"/>
        </w:rPr>
        <w:t>ОБРАЗОВАНИЕ И ДОСТИЖЕНИЯ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Школа 21 — «Бизнес и системный анализ», 2025.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1 место — «Холиварные аналитические посиделки», 2025.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ТОП-3 хакатона по Process Mining от Сбербанка: анализ event log, поиск bottleneck и проектирование TO-BE с целевым соблюдением SLA.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2 место — Турнир трайбов Школы 21 среди 3000+ участников, 2025.</w:t>
      </w:r>
    </w:p>
    <w:p>
      <w:pPr>
        <w:pStyle w:val="ResumeBullet"/>
        <w:spacing w:after="29" w:line="247" w:lineRule="auto"/>
        <w:ind w:left="272" w:hanging="142"/>
        <w:widowControl/>
      </w:pPr>
      <w:r>
        <w:rPr>
          <w:rFonts w:ascii="Arial" w:hAnsi="Arial" w:eastAsia="Arial"/>
          <w:b/>
          <w:color w:val="1F4E79"/>
          <w:sz w:val="18"/>
        </w:rPr>
        <w:t xml:space="preserve">• </w:t>
      </w:r>
      <w:r>
        <w:rPr>
          <w:rFonts w:ascii="Arial" w:hAnsi="Arial" w:eastAsia="Arial"/>
          <w:color w:val="232323"/>
          <w:sz w:val="18"/>
        </w:rPr>
        <w:t>Английский — C1; русский — родной.</w:t>
      </w:r>
    </w:p>
    <w:sectPr w:rsidR="00FC693F" w:rsidRPr="0006063C" w:rsidSect="00034616">
      <w:footerReference w:type="default" r:id="rId9"/>
      <w:pgSz w:w="12240" w:h="15840"/>
      <w:pgMar w:top="765" w:right="935" w:bottom="737" w:left="935" w:header="283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</w:pPr>
    <w:r>
      <w:rPr>
        <w:rFonts w:ascii="Arial" w:hAnsi="Arial" w:eastAsia="Arial"/>
        <w:color w:val="787878"/>
        <w:sz w:val="16"/>
      </w:rPr>
      <w:t xml:space="preserve">Качалич Максим  •  Резюме  •  </w:t>
    </w:r>
    <w:r>
      <w:rPr>
        <w:rFonts w:ascii="Arial" w:hAnsi="Arial" w:eastAsia="Arial"/>
        <w:color w:val="787878"/>
        <w:sz w:val="16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7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Bullet">
    <w:name w:val="Resume Bullet"/>
    <w:pPr>
      <w:spacing w:after="34"/>
    </w:pPr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Качалич Максим — Бизнес-/системный аналитик</dc:title>
  <dc:subject>Резюме с фокусом на архитектурное мышление и управленческий учет</dc:subject>
  <dc:creator>Качалич Максим</dc:creator>
  <cp:keywords>business analyst, system analyst, solution analyst, data architecture, management accounting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